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7775" w14:textId="3D7AB27F" w:rsidR="00912CE0" w:rsidRPr="00615BA8" w:rsidRDefault="00615BA8" w:rsidP="00615BA8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615BA8">
        <w:rPr>
          <w:rFonts w:ascii="Arial" w:hAnsi="Arial" w:cs="Arial"/>
          <w:color w:val="000000" w:themeColor="text1"/>
          <w:sz w:val="28"/>
          <w:szCs w:val="28"/>
        </w:rPr>
        <w:t xml:space="preserve">Kryterium dochodowe </w:t>
      </w:r>
      <w:r w:rsidR="00912CE0" w:rsidRPr="00615BA8">
        <w:rPr>
          <w:rFonts w:ascii="Arial" w:hAnsi="Arial" w:cs="Arial"/>
          <w:color w:val="000000" w:themeColor="text1"/>
          <w:sz w:val="28"/>
          <w:szCs w:val="28"/>
        </w:rPr>
        <w:t>obowiązujące od marca 2026 do maja 2026 roku wynosi:</w:t>
      </w:r>
    </w:p>
    <w:p w14:paraId="6AD10577" w14:textId="764332C0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Kryterium dochodowe na osobę w rodzinie wynosi:4</w:t>
      </w:r>
      <w:r w:rsidR="00961859">
        <w:rPr>
          <w:rFonts w:ascii="Arial" w:hAnsi="Arial" w:cs="Arial"/>
          <w:sz w:val="24"/>
          <w:szCs w:val="24"/>
        </w:rPr>
        <w:t> </w:t>
      </w:r>
      <w:r w:rsidRPr="00615BA8">
        <w:rPr>
          <w:rFonts w:ascii="Arial" w:hAnsi="Arial" w:cs="Arial"/>
          <w:sz w:val="24"/>
          <w:szCs w:val="24"/>
        </w:rPr>
        <w:t>598,89 zł</w:t>
      </w:r>
    </w:p>
    <w:p w14:paraId="5163C667" w14:textId="6C4A6D40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(tj. 50% przeciętnego wynagrodzenia)</w:t>
      </w:r>
    </w:p>
    <w:p w14:paraId="742A5474" w14:textId="6D0F6603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Kryterium dochodowe w przypadku osoby samotnej wynosi:  5</w:t>
      </w:r>
      <w:r w:rsidR="00961859">
        <w:rPr>
          <w:rFonts w:ascii="Arial" w:hAnsi="Arial" w:cs="Arial"/>
          <w:sz w:val="24"/>
          <w:szCs w:val="24"/>
        </w:rPr>
        <w:t> </w:t>
      </w:r>
      <w:r w:rsidRPr="00615BA8">
        <w:rPr>
          <w:rFonts w:ascii="Arial" w:hAnsi="Arial" w:cs="Arial"/>
          <w:sz w:val="24"/>
          <w:szCs w:val="24"/>
        </w:rPr>
        <w:t>978,56 zł</w:t>
      </w:r>
    </w:p>
    <w:p w14:paraId="1126A588" w14:textId="7E4E24FC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(tj. 65% przeciętnego wynagrodzenia)</w:t>
      </w:r>
    </w:p>
    <w:p w14:paraId="792E2274" w14:textId="04EB292C" w:rsidR="00912CE0" w:rsidRPr="00615BA8" w:rsidRDefault="00912CE0" w:rsidP="00615BA8">
      <w:pPr>
        <w:rPr>
          <w:rFonts w:ascii="Arial" w:hAnsi="Arial" w:cs="Arial"/>
          <w:sz w:val="24"/>
          <w:szCs w:val="24"/>
        </w:rPr>
      </w:pPr>
      <w:r w:rsidRPr="00615BA8">
        <w:rPr>
          <w:rFonts w:ascii="Arial" w:hAnsi="Arial" w:cs="Arial"/>
          <w:sz w:val="24"/>
          <w:szCs w:val="24"/>
        </w:rPr>
        <w:t>Przeciętne wynagrodzenie obowiązujące wynosi 9</w:t>
      </w:r>
      <w:r w:rsidR="00961859">
        <w:rPr>
          <w:rFonts w:ascii="Arial" w:hAnsi="Arial" w:cs="Arial"/>
          <w:sz w:val="24"/>
          <w:szCs w:val="24"/>
        </w:rPr>
        <w:t> </w:t>
      </w:r>
      <w:r w:rsidRPr="00615BA8">
        <w:rPr>
          <w:rFonts w:ascii="Arial" w:hAnsi="Arial" w:cs="Arial"/>
          <w:sz w:val="24"/>
          <w:szCs w:val="24"/>
        </w:rPr>
        <w:t>197,79 zł.</w:t>
      </w:r>
    </w:p>
    <w:sectPr w:rsidR="00912CE0" w:rsidRPr="0061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E0"/>
    <w:rsid w:val="00253518"/>
    <w:rsid w:val="00615BA8"/>
    <w:rsid w:val="00912CE0"/>
    <w:rsid w:val="00961859"/>
    <w:rsid w:val="00A85313"/>
    <w:rsid w:val="00C00BB4"/>
    <w:rsid w:val="00E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AFA9"/>
  <w15:chartTrackingRefBased/>
  <w15:docId w15:val="{944E8926-2910-4A00-B3FE-3160BBC1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C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C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C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C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C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C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C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C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C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C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Skowrońska</dc:creator>
  <cp:keywords/>
  <dc:description/>
  <cp:lastModifiedBy>Justyna Kindlein</cp:lastModifiedBy>
  <cp:revision>2</cp:revision>
  <dcterms:created xsi:type="dcterms:W3CDTF">2026-05-11T12:20:00Z</dcterms:created>
  <dcterms:modified xsi:type="dcterms:W3CDTF">2026-05-11T12:20:00Z</dcterms:modified>
</cp:coreProperties>
</file>